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topLinePunct w:val="0"/>
        <w:autoSpaceDE/>
        <w:autoSpaceDN/>
        <w:bidi w:val="0"/>
        <w:adjustRightInd/>
        <w:snapToGrid/>
        <w:spacing w:line="360" w:lineRule="auto"/>
        <w:textAlignment w:val="auto"/>
        <w:rPr>
          <w:rFonts w:hint="eastAsia"/>
        </w:rPr>
      </w:pPr>
      <w:bookmarkStart w:id="0" w:name="_Toc17269"/>
      <w:r>
        <w:rPr>
          <w:rFonts w:hint="eastAsia"/>
        </w:rPr>
        <w:t>三亚学院学士学位授予实施细则（修订）</w:t>
      </w:r>
      <w:bookmarkEnd w:id="0"/>
    </w:p>
    <w:p>
      <w:pPr>
        <w:keepNext w:val="0"/>
        <w:keepLines w:val="0"/>
        <w:pageBreakBefore w:val="0"/>
        <w:widowControl w:val="0"/>
        <w:kinsoku/>
        <w:wordWrap/>
        <w:topLinePunct w:val="0"/>
        <w:autoSpaceDE/>
        <w:autoSpaceDN/>
        <w:bidi w:val="0"/>
        <w:adjustRightInd/>
        <w:snapToGrid/>
        <w:spacing w:before="312" w:beforeLines="100" w:line="360" w:lineRule="auto"/>
        <w:ind w:firstLine="0" w:firstLineChars="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第一章 总  则</w:t>
      </w:r>
    </w:p>
    <w:p>
      <w:pPr>
        <w:keepNext w:val="0"/>
        <w:keepLines w:val="0"/>
        <w:pageBreakBefore w:val="0"/>
        <w:widowControl w:val="0"/>
        <w:kinsoku/>
        <w:wordWrap/>
        <w:topLinePunct w:val="0"/>
        <w:autoSpaceDE/>
        <w:autoSpaceDN/>
        <w:bidi w:val="0"/>
        <w:adjustRightInd/>
        <w:snapToGrid/>
        <w:spacing w:line="360" w:lineRule="auto"/>
        <w:ind w:firstLine="640" w:firstLineChars="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第一条</w:t>
      </w:r>
      <w:r>
        <w:rPr>
          <w:rFonts w:hint="eastAsia" w:ascii="宋体" w:hAnsi="宋体" w:eastAsia="宋体" w:cs="宋体"/>
          <w:spacing w:val="8"/>
          <w:kern w:val="2"/>
          <w:sz w:val="24"/>
          <w:szCs w:val="24"/>
          <w:lang w:val="en-US" w:eastAsia="zh-CN" w:bidi="ar-SA"/>
        </w:rPr>
        <w:t xml:space="preserve"> 为了规范学士学位授予工作，保障学士学位授予质量，保护学位申请人的合法权益，根据《中华人民共和国高等教育法》和《中华人民共和国学位法》，结合我校实际情况，制定本实施细则（以下简称“细则”）。</w:t>
      </w:r>
    </w:p>
    <w:p>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第二条</w:t>
      </w:r>
      <w:r>
        <w:rPr>
          <w:rFonts w:hint="eastAsia" w:ascii="宋体" w:hAnsi="宋体" w:eastAsia="宋体" w:cs="宋体"/>
          <w:spacing w:val="8"/>
          <w:kern w:val="2"/>
          <w:sz w:val="24"/>
          <w:szCs w:val="24"/>
          <w:lang w:val="en-US" w:eastAsia="zh-CN" w:bidi="ar-SA"/>
        </w:rPr>
        <w:t xml:space="preserve"> 本细则适用于在校接受普通高等学历教育的全日制本科生。</w:t>
      </w:r>
    </w:p>
    <w:p>
      <w:pPr>
        <w:keepNext w:val="0"/>
        <w:keepLines w:val="0"/>
        <w:pageBreakBefore w:val="0"/>
        <w:widowControl w:val="0"/>
        <w:kinsoku/>
        <w:wordWrap/>
        <w:topLinePunct w:val="0"/>
        <w:autoSpaceDE/>
        <w:autoSpaceDN/>
        <w:bidi w:val="0"/>
        <w:adjustRightInd/>
        <w:snapToGrid/>
        <w:spacing w:line="360" w:lineRule="auto"/>
        <w:jc w:val="left"/>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第三条</w:t>
      </w:r>
      <w:r>
        <w:rPr>
          <w:rFonts w:hint="eastAsia" w:ascii="宋体" w:hAnsi="宋体" w:eastAsia="宋体" w:cs="宋体"/>
          <w:spacing w:val="8"/>
          <w:kern w:val="2"/>
          <w:sz w:val="24"/>
          <w:szCs w:val="24"/>
          <w:lang w:val="en-US" w:eastAsia="zh-CN" w:bidi="ar-SA"/>
        </w:rPr>
        <w:t xml:space="preserve"> 学校按照教育部批准或备案的学科门类及专业授予学士学位。</w:t>
      </w:r>
    </w:p>
    <w:p>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第四条</w:t>
      </w:r>
      <w:r>
        <w:rPr>
          <w:rFonts w:hint="eastAsia" w:ascii="宋体" w:hAnsi="宋体" w:eastAsia="宋体" w:cs="宋体"/>
          <w:spacing w:val="8"/>
          <w:kern w:val="2"/>
          <w:sz w:val="24"/>
          <w:szCs w:val="24"/>
          <w:lang w:val="en-US" w:eastAsia="zh-CN" w:bidi="ar-SA"/>
        </w:rPr>
        <w:t xml:space="preserve"> 学位申请人应当拥护中国共产党的领导，拥护社会主义制度，遵守宪法和法律，遵守学术道德和学术规范。</w:t>
      </w:r>
    </w:p>
    <w:p>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第五条</w:t>
      </w:r>
      <w:r>
        <w:rPr>
          <w:rFonts w:hint="eastAsia" w:ascii="宋体" w:hAnsi="宋体" w:eastAsia="宋体" w:cs="宋体"/>
          <w:spacing w:val="8"/>
          <w:kern w:val="2"/>
          <w:sz w:val="24"/>
          <w:szCs w:val="24"/>
          <w:lang w:val="en-US" w:eastAsia="zh-CN" w:bidi="ar-SA"/>
        </w:rPr>
        <w:t xml:space="preserve"> 符合本细则第四条要求的我校本科毕业生，在规定的最长学习年限内完成专业人才培养方案规定的所有环节，达到专业人才培养目标要求，较好地掌握专业的基础理论、专门知识和基本技能，具有从事学术研究或者承担专业实践工作的初步能力，通过毕业论文或者毕业设计等毕业环节审查，经审核准予毕业的，可按照本细则申请授予相应的学士学位。</w:t>
      </w:r>
    </w:p>
    <w:p>
      <w:pPr>
        <w:keepNext w:val="0"/>
        <w:keepLines w:val="0"/>
        <w:pageBreakBefore w:val="0"/>
        <w:widowControl w:val="0"/>
        <w:kinsoku/>
        <w:wordWrap/>
        <w:topLinePunct w:val="0"/>
        <w:autoSpaceDE/>
        <w:autoSpaceDN/>
        <w:bidi w:val="0"/>
        <w:adjustRightInd/>
        <w:snapToGrid/>
        <w:spacing w:before="312" w:beforeLines="100" w:line="360" w:lineRule="auto"/>
        <w:ind w:firstLine="0" w:firstLineChars="0"/>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第二章 授予条件</w:t>
      </w:r>
    </w:p>
    <w:p>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第六条</w:t>
      </w:r>
      <w:r>
        <w:rPr>
          <w:rFonts w:hint="eastAsia" w:ascii="宋体" w:hAnsi="宋体" w:eastAsia="宋体" w:cs="宋体"/>
          <w:spacing w:val="8"/>
          <w:kern w:val="2"/>
          <w:sz w:val="24"/>
          <w:szCs w:val="24"/>
          <w:lang w:val="en-US" w:eastAsia="zh-CN" w:bidi="ar-SA"/>
        </w:rPr>
        <w:t xml:space="preserve"> 申请授予学士学位的本科毕业生，具备下列条件可授予学士学位：</w:t>
      </w:r>
    </w:p>
    <w:p>
      <w:pPr>
        <w:keepNext w:val="0"/>
        <w:keepLines w:val="0"/>
        <w:pageBreakBefore w:val="0"/>
        <w:widowControl w:val="0"/>
        <w:kinsoku/>
        <w:wordWrap/>
        <w:topLinePunct w:val="0"/>
        <w:autoSpaceDE/>
        <w:autoSpaceDN/>
        <w:bidi w:val="0"/>
        <w:adjustRightInd/>
        <w:snapToGrid/>
        <w:spacing w:line="360" w:lineRule="auto"/>
        <w:ind w:firstLine="660" w:firstLineChars="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（一）身体健康。按照《国家学生体质健康标准》的要求参加体质健康测试，且成绩达到及格以上。</w:t>
      </w:r>
    </w:p>
    <w:p>
      <w:pPr>
        <w:keepNext w:val="0"/>
        <w:keepLines w:val="0"/>
        <w:pageBreakBefore w:val="0"/>
        <w:widowControl w:val="0"/>
        <w:kinsoku/>
        <w:wordWrap/>
        <w:topLinePunct w:val="0"/>
        <w:autoSpaceDE/>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（二）在校期间未受过处分，或所受处分已被解除。</w:t>
      </w:r>
    </w:p>
    <w:p>
      <w:pPr>
        <w:keepNext w:val="0"/>
        <w:keepLines w:val="0"/>
        <w:pageBreakBefore w:val="0"/>
        <w:widowControl w:val="0"/>
        <w:kinsoku/>
        <w:wordWrap/>
        <w:topLinePunct w:val="0"/>
        <w:autoSpaceDE/>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（三）专业人才培养方案规定修习的课程平均绩点（以下简称为“平均绩点”）达2.0以上。</w:t>
      </w:r>
    </w:p>
    <w:p>
      <w:pPr>
        <w:keepNext w:val="0"/>
        <w:keepLines w:val="0"/>
        <w:pageBreakBefore w:val="0"/>
        <w:widowControl w:val="0"/>
        <w:kinsoku/>
        <w:wordWrap/>
        <w:topLinePunct w:val="0"/>
        <w:autoSpaceDE/>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平均绩点计算办法为：</w:t>
      </w:r>
    </w:p>
    <w:p>
      <w:pPr>
        <w:keepNext w:val="0"/>
        <w:keepLines w:val="0"/>
        <w:pageBreakBefore w:val="0"/>
        <w:widowControl w:val="0"/>
        <w:kinsoku/>
        <w:wordWrap/>
        <w:topLinePunct w:val="0"/>
        <w:autoSpaceDE/>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平均绩点=课程学分绩点总和÷课程学分总和</w:t>
      </w:r>
    </w:p>
    <w:p>
      <w:pPr>
        <w:keepNext w:val="0"/>
        <w:keepLines w:val="0"/>
        <w:pageBreakBefore w:val="0"/>
        <w:widowControl w:val="0"/>
        <w:kinsoku/>
        <w:wordWrap/>
        <w:topLinePunct w:val="0"/>
        <w:autoSpaceDE/>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课程学分绩点=课程绩点×课程学分</w:t>
      </w:r>
    </w:p>
    <w:p>
      <w:pPr>
        <w:keepNext w:val="0"/>
        <w:keepLines w:val="0"/>
        <w:pageBreakBefore w:val="0"/>
        <w:kinsoku/>
        <w:wordWrap/>
        <w:topLinePunct w:val="0"/>
        <w:autoSpaceDN/>
        <w:bidi w:val="0"/>
        <w:adjustRightInd/>
        <w:snapToGrid/>
        <w:spacing w:line="560" w:lineRule="exact"/>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课程绩点计算方法如下：</w:t>
      </w:r>
    </w:p>
    <w:p>
      <w:pPr>
        <w:keepNext w:val="0"/>
        <w:keepLines w:val="0"/>
        <w:pageBreakBefore w:val="0"/>
        <w:kinsoku/>
        <w:wordWrap/>
        <w:topLinePunct w:val="0"/>
        <w:autoSpaceDN/>
        <w:bidi w:val="0"/>
        <w:adjustRightInd/>
        <w:snapToGrid/>
        <w:spacing w:line="560" w:lineRule="exact"/>
        <w:ind w:firstLine="512" w:firstLineChars="200"/>
        <w:textAlignment w:val="auto"/>
        <w:rPr>
          <w:rFonts w:hint="eastAsia" w:ascii="宋体" w:hAnsi="宋体" w:eastAsia="宋体" w:cs="宋体"/>
          <w:spacing w:val="8"/>
          <w:kern w:val="2"/>
          <w:sz w:val="24"/>
          <w:szCs w:val="24"/>
          <w:lang w:val="en-US" w:eastAsia="zh-CN" w:bidi="ar-SA"/>
        </w:rPr>
      </w:pPr>
    </w:p>
    <w:p>
      <w:pPr>
        <w:keepNext w:val="0"/>
        <w:keepLines w:val="0"/>
        <w:pageBreakBefore w:val="0"/>
        <w:kinsoku/>
        <w:wordWrap/>
        <w:topLinePunct w:val="0"/>
        <w:autoSpaceDN/>
        <w:bidi w:val="0"/>
        <w:adjustRightInd/>
        <w:snapToGrid/>
        <w:spacing w:line="560" w:lineRule="exact"/>
        <w:ind w:firstLine="512" w:firstLineChars="200"/>
        <w:textAlignment w:val="auto"/>
        <w:rPr>
          <w:rFonts w:hint="eastAsia" w:ascii="宋体" w:hAnsi="宋体" w:eastAsia="宋体" w:cs="宋体"/>
          <w:spacing w:val="8"/>
          <w:kern w:val="2"/>
          <w:sz w:val="24"/>
          <w:szCs w:val="24"/>
          <w:lang w:val="en-US" w:eastAsia="zh-CN" w:bidi="ar-SA"/>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3032"/>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百分制（按最高成绩计）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五级制（按最高成绩计）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课程绩点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n≧90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优</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85≦n﹤90</w:t>
            </w:r>
          </w:p>
        </w:tc>
        <w:tc>
          <w:tcPr>
            <w:tcW w:w="0" w:type="auto"/>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良</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80≦n﹤85</w:t>
            </w: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N/>
              <w:bidi w:val="0"/>
              <w:adjustRightInd/>
              <w:snapToGrid/>
              <w:spacing w:line="560" w:lineRule="exact"/>
              <w:ind w:firstLine="0" w:firstLineChars="0"/>
              <w:jc w:val="left"/>
              <w:textAlignment w:val="auto"/>
              <w:rPr>
                <w:rFonts w:hint="eastAsia" w:ascii="宋体" w:hAnsi="宋体" w:eastAsia="宋体" w:cs="宋体"/>
                <w:spacing w:val="8"/>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75≦n﹤80</w:t>
            </w:r>
          </w:p>
        </w:tc>
        <w:tc>
          <w:tcPr>
            <w:tcW w:w="0" w:type="auto"/>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中</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70≦n﹤75</w:t>
            </w: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N/>
              <w:bidi w:val="0"/>
              <w:adjustRightInd/>
              <w:snapToGrid/>
              <w:spacing w:line="560" w:lineRule="exact"/>
              <w:ind w:firstLine="0" w:firstLineChars="0"/>
              <w:jc w:val="left"/>
              <w:textAlignment w:val="auto"/>
              <w:rPr>
                <w:rFonts w:hint="eastAsia" w:ascii="宋体" w:hAnsi="宋体" w:eastAsia="宋体" w:cs="宋体"/>
                <w:spacing w:val="8"/>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65≦n﹤70</w:t>
            </w:r>
          </w:p>
        </w:tc>
        <w:tc>
          <w:tcPr>
            <w:tcW w:w="0" w:type="auto"/>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及格</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60≦n﹤65</w:t>
            </w: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N/>
              <w:bidi w:val="0"/>
              <w:adjustRightInd/>
              <w:snapToGrid/>
              <w:spacing w:line="560" w:lineRule="exact"/>
              <w:ind w:firstLine="0" w:firstLineChars="0"/>
              <w:jc w:val="left"/>
              <w:textAlignment w:val="auto"/>
              <w:rPr>
                <w:rFonts w:hint="eastAsia" w:ascii="宋体" w:hAnsi="宋体" w:eastAsia="宋体" w:cs="宋体"/>
                <w:spacing w:val="8"/>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n﹤60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不及格</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N/>
              <w:bidi w:val="0"/>
              <w:adjustRightInd/>
              <w:snapToGrid/>
              <w:spacing w:line="560" w:lineRule="exact"/>
              <w:ind w:firstLine="0" w:firstLineChars="0"/>
              <w:jc w:val="center"/>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0</w:t>
            </w:r>
          </w:p>
        </w:tc>
      </w:tr>
    </w:tbl>
    <w:p>
      <w:pPr>
        <w:keepNext w:val="0"/>
        <w:keepLines w:val="0"/>
        <w:pageBreakBefore w:val="0"/>
        <w:widowControl w:val="0"/>
        <w:kinsoku/>
        <w:wordWrap/>
        <w:overflowPunct/>
        <w:topLinePunct w:val="0"/>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注：五级制分别对应的课程绩点为：“优”4.0，“良”3.5，“中”2.5，“及格”1.5，“不及格”0。</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第七条</w:t>
      </w:r>
      <w:r>
        <w:rPr>
          <w:rFonts w:hint="eastAsia" w:ascii="宋体" w:hAnsi="宋体" w:eastAsia="宋体" w:cs="宋体"/>
          <w:spacing w:val="8"/>
          <w:kern w:val="2"/>
          <w:sz w:val="24"/>
          <w:szCs w:val="24"/>
          <w:lang w:val="en-US" w:eastAsia="zh-CN" w:bidi="ar-SA"/>
        </w:rPr>
        <w:t xml:space="preserve"> 在校期间受处分的学生，如毕业前处分未到期无法解除，学生可申请延长学习年限。在学校规定的学习年限内，处分解除后，学生提出学士学位申请，经学校学位评定委员会审定通过，可以授予学士学位。</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第八条</w:t>
      </w:r>
      <w:r>
        <w:rPr>
          <w:rFonts w:hint="eastAsia" w:ascii="宋体" w:hAnsi="宋体" w:eastAsia="宋体" w:cs="宋体"/>
          <w:spacing w:val="8"/>
          <w:kern w:val="2"/>
          <w:sz w:val="24"/>
          <w:szCs w:val="24"/>
          <w:lang w:val="en-US" w:eastAsia="zh-CN" w:bidi="ar-SA"/>
        </w:rPr>
        <w:t xml:space="preserve"> 毕业时必修课程平均绩点在1.0-2.0之间的学生，如毕业之前具备学校认定的学业突出表现的其中一条（具体见附件），可以提出授予学士学位申请，经学校学位评定委员会审定通过，可以授予学士学位。</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第九条</w:t>
      </w:r>
      <w:r>
        <w:rPr>
          <w:rFonts w:hint="eastAsia" w:ascii="宋体" w:hAnsi="宋体" w:eastAsia="宋体" w:cs="宋体"/>
          <w:spacing w:val="8"/>
          <w:kern w:val="2"/>
          <w:sz w:val="24"/>
          <w:szCs w:val="24"/>
          <w:lang w:val="en-US" w:eastAsia="zh-CN" w:bidi="ar-SA"/>
        </w:rPr>
        <w:t xml:space="preserve"> 毕业时必修课程平均绩点未达到2.0的学生，可申请延长学习年限，在学习年限内（本科生不得超过六年，专升本学生不得超过四年）申请重修，重修后课程平均绩点（按照课程重修后的最高成绩计算课程绩点）达到2.0的，可提出学士学位授予申请，经学校学位评定委员会审定通过，可以授予学士学位。</w:t>
      </w:r>
    </w:p>
    <w:p>
      <w:pPr>
        <w:keepNext w:val="0"/>
        <w:keepLines w:val="0"/>
        <w:pageBreakBefore w:val="0"/>
        <w:widowControl w:val="0"/>
        <w:kinsoku/>
        <w:wordWrap/>
        <w:overflowPunct/>
        <w:topLinePunct w:val="0"/>
        <w:autoSpaceDN/>
        <w:bidi w:val="0"/>
        <w:adjustRightInd/>
        <w:snapToGrid/>
        <w:spacing w:line="360" w:lineRule="auto"/>
        <w:ind w:firstLine="514"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第十条</w:t>
      </w:r>
      <w:r>
        <w:rPr>
          <w:rFonts w:hint="eastAsia" w:ascii="宋体" w:hAnsi="宋体" w:eastAsia="宋体" w:cs="宋体"/>
          <w:spacing w:val="8"/>
          <w:kern w:val="2"/>
          <w:sz w:val="24"/>
          <w:szCs w:val="24"/>
          <w:lang w:val="en-US" w:eastAsia="zh-CN" w:bidi="ar-SA"/>
        </w:rPr>
        <w:t xml:space="preserve"> 在学校规定的学习年限结束后，课程平均绩点低于1.0的学生，取消申请学士学位资格。</w:t>
      </w:r>
    </w:p>
    <w:p>
      <w:pPr>
        <w:keepNext w:val="0"/>
        <w:keepLines w:val="0"/>
        <w:pageBreakBefore w:val="0"/>
        <w:widowControl w:val="0"/>
        <w:kinsoku/>
        <w:wordWrap/>
        <w:overflowPunct/>
        <w:topLinePunct w:val="0"/>
        <w:autoSpaceDE/>
        <w:autoSpaceDN/>
        <w:bidi w:val="0"/>
        <w:adjustRightInd/>
        <w:snapToGrid/>
        <w:spacing w:before="312" w:beforeLines="100" w:line="360" w:lineRule="auto"/>
        <w:ind w:firstLine="0" w:firstLineChars="0"/>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第三章 授予程序</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第十一条</w:t>
      </w:r>
      <w:r>
        <w:rPr>
          <w:rFonts w:hint="eastAsia" w:ascii="宋体" w:hAnsi="宋体" w:eastAsia="宋体" w:cs="宋体"/>
          <w:spacing w:val="8"/>
          <w:kern w:val="2"/>
          <w:sz w:val="24"/>
          <w:szCs w:val="24"/>
          <w:lang w:val="en-US" w:eastAsia="zh-CN" w:bidi="ar-SA"/>
        </w:rPr>
        <w:t xml:space="preserve"> 授予普通高等教育本科毕业生学士学位按如下程序办理：</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（一）二级学院学士学位评定分委员会审核</w:t>
      </w:r>
    </w:p>
    <w:p>
      <w:pPr>
        <w:keepNext w:val="0"/>
        <w:keepLines w:val="0"/>
        <w:pageBreakBefore w:val="0"/>
        <w:widowControl w:val="0"/>
        <w:kinsoku/>
        <w:wordWrap/>
        <w:overflowPunct/>
        <w:topLinePunct w:val="0"/>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根据毕业学生学士学位授予申请情况，二级学院学士学位评定分委员会审核毕业学生的学士学位授予资格，提出授予学士学位和不授予学士学位的初审名单和破格申请学士学位学生名单及支撑材料，报教务处。</w:t>
      </w:r>
    </w:p>
    <w:p>
      <w:pPr>
        <w:keepNext w:val="0"/>
        <w:keepLines w:val="0"/>
        <w:pageBreakBefore w:val="0"/>
        <w:widowControl w:val="0"/>
        <w:kinsoku/>
        <w:wordWrap/>
        <w:overflowPunct/>
        <w:topLinePunct w:val="0"/>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（二）教务处复核</w:t>
      </w:r>
    </w:p>
    <w:p>
      <w:pPr>
        <w:keepNext w:val="0"/>
        <w:keepLines w:val="0"/>
        <w:pageBreakBefore w:val="0"/>
        <w:widowControl w:val="0"/>
        <w:kinsoku/>
        <w:wordWrap/>
        <w:overflowPunct/>
        <w:topLinePunct w:val="0"/>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教务处对二级学院学士学位评定分委员会提交的材料进行汇总、复核，并将结果上报学校学位评定委员会。</w:t>
      </w:r>
    </w:p>
    <w:p>
      <w:pPr>
        <w:keepNext w:val="0"/>
        <w:keepLines w:val="0"/>
        <w:pageBreakBefore w:val="0"/>
        <w:widowControl w:val="0"/>
        <w:kinsoku/>
        <w:wordWrap/>
        <w:overflowPunct/>
        <w:topLinePunct w:val="0"/>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（三）学校学位评定委员会审定</w:t>
      </w:r>
    </w:p>
    <w:p>
      <w:pPr>
        <w:keepNext w:val="0"/>
        <w:keepLines w:val="0"/>
        <w:pageBreakBefore w:val="0"/>
        <w:widowControl w:val="0"/>
        <w:kinsoku/>
        <w:wordWrap/>
        <w:overflowPunct/>
        <w:topLinePunct w:val="0"/>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学校学位评定委员会对教务处上报的拟授予学士学位名单进行审定并做出决议。通过审定者授予学士学位，颁发学士学位证书，并报省学位办备案。</w:t>
      </w:r>
    </w:p>
    <w:p>
      <w:pPr>
        <w:keepNext w:val="0"/>
        <w:keepLines w:val="0"/>
        <w:pageBreakBefore w:val="0"/>
        <w:widowControl w:val="0"/>
        <w:kinsoku/>
        <w:wordWrap/>
        <w:overflowPunct/>
        <w:topLinePunct w:val="0"/>
        <w:autoSpaceDE/>
        <w:autoSpaceDN/>
        <w:bidi w:val="0"/>
        <w:adjustRightInd/>
        <w:snapToGrid/>
        <w:spacing w:before="312" w:beforeLines="100" w:line="360" w:lineRule="auto"/>
        <w:ind w:firstLine="0" w:firstLineChars="0"/>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第四章  其他处理</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第十二条</w:t>
      </w:r>
      <w:r>
        <w:rPr>
          <w:rFonts w:hint="eastAsia" w:ascii="宋体" w:hAnsi="宋体" w:eastAsia="宋体" w:cs="宋体"/>
          <w:spacing w:val="8"/>
          <w:kern w:val="2"/>
          <w:sz w:val="24"/>
          <w:szCs w:val="24"/>
          <w:lang w:val="en-US" w:eastAsia="zh-CN" w:bidi="ar-SA"/>
        </w:rPr>
        <w:t xml:space="preserve"> 学位证书只发放一次。如遗失或损坏，由本人在省级刊物上声明丢失作废，并提出书面申请，经学校审核，情况属实者，可开具“学位证明书”。学位证明书与学位证书具有同等法律效力。</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第十三条</w:t>
      </w:r>
      <w:r>
        <w:rPr>
          <w:rFonts w:hint="eastAsia" w:ascii="宋体" w:hAnsi="宋体" w:eastAsia="宋体" w:cs="宋体"/>
          <w:spacing w:val="8"/>
          <w:kern w:val="2"/>
          <w:sz w:val="24"/>
          <w:szCs w:val="24"/>
          <w:lang w:val="en-US" w:eastAsia="zh-CN" w:bidi="ar-SA"/>
        </w:rPr>
        <w:t xml:space="preserve"> 学位申请人、学位获得者在攻读该学位过程中有下列情形之一的，经学校学位评定委员会决议，学校不授予学位或者撤销学位：</w:t>
      </w:r>
    </w:p>
    <w:p>
      <w:pPr>
        <w:keepNext w:val="0"/>
        <w:keepLines w:val="0"/>
        <w:pageBreakBefore w:val="0"/>
        <w:widowControl w:val="0"/>
        <w:kinsoku/>
        <w:wordWrap/>
        <w:overflowPunct/>
        <w:topLinePunct w:val="0"/>
        <w:autoSpaceDE w:val="0"/>
        <w:autoSpaceDN/>
        <w:bidi w:val="0"/>
        <w:adjustRightInd/>
        <w:snapToGrid/>
        <w:spacing w:line="360" w:lineRule="auto"/>
        <w:ind w:firstLine="512" w:firstLineChars="200"/>
        <w:jc w:val="left"/>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（一）学位论文或者实践成果被认定为存在代写、剽窃、伪造等学术不端行为；</w:t>
      </w:r>
    </w:p>
    <w:p>
      <w:pPr>
        <w:keepNext w:val="0"/>
        <w:keepLines w:val="0"/>
        <w:pageBreakBefore w:val="0"/>
        <w:widowControl w:val="0"/>
        <w:kinsoku/>
        <w:wordWrap/>
        <w:overflowPunct/>
        <w:topLinePunct w:val="0"/>
        <w:autoSpaceDE w:val="0"/>
        <w:autoSpaceDN/>
        <w:bidi w:val="0"/>
        <w:adjustRightInd/>
        <w:snapToGrid/>
        <w:spacing w:line="360" w:lineRule="auto"/>
        <w:ind w:firstLine="512" w:firstLineChars="200"/>
        <w:jc w:val="left"/>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（二）盗用、冒用他人身份，顶替他人取得的入学资格，或者以其他非法手段取得入学资格、毕业证书；</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（三）攻读期间存在依法不应当授予学位的其他严重违法行为。</w:t>
      </w:r>
    </w:p>
    <w:p>
      <w:pPr>
        <w:keepNext w:val="0"/>
        <w:keepLines w:val="0"/>
        <w:pageBreakBefore w:val="0"/>
        <w:widowControl w:val="0"/>
        <w:kinsoku/>
        <w:wordWrap/>
        <w:overflowPunct/>
        <w:topLinePunct w:val="0"/>
        <w:autoSpaceDE w:val="0"/>
        <w:autoSpaceDN/>
        <w:bidi w:val="0"/>
        <w:adjustRightInd/>
        <w:snapToGrid/>
        <w:spacing w:line="360" w:lineRule="auto"/>
        <w:jc w:val="left"/>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第十四条</w:t>
      </w:r>
      <w:r>
        <w:rPr>
          <w:rFonts w:hint="eastAsia" w:ascii="宋体" w:hAnsi="宋体" w:eastAsia="宋体" w:cs="宋体"/>
          <w:spacing w:val="8"/>
          <w:kern w:val="2"/>
          <w:sz w:val="24"/>
          <w:szCs w:val="24"/>
          <w:lang w:val="en-US" w:eastAsia="zh-CN" w:bidi="ar-SA"/>
        </w:rPr>
        <w:t xml:space="preserve"> 已获得学士学位者，如发现有舞弊作假等严重违反《中华人民共和国学位法》及本细则的情况，经学校学位评定委员会复议，予以撤销其学位。学位证书信息已备案的，学校报教育主管部门予以注销。</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第十五条</w:t>
      </w:r>
      <w:r>
        <w:rPr>
          <w:rFonts w:hint="eastAsia" w:ascii="宋体" w:hAnsi="宋体" w:eastAsia="宋体" w:cs="宋体"/>
          <w:spacing w:val="8"/>
          <w:kern w:val="2"/>
          <w:sz w:val="24"/>
          <w:szCs w:val="24"/>
          <w:lang w:val="en-US" w:eastAsia="zh-CN" w:bidi="ar-SA"/>
        </w:rPr>
        <w:t xml:space="preserve"> 对非法制作、伪造、编造或者贩卖学校学士学位证书的，依据刑法有关规定追究其刑事责任。</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第十六条</w:t>
      </w:r>
      <w:r>
        <w:rPr>
          <w:rFonts w:hint="eastAsia" w:ascii="宋体" w:hAnsi="宋体" w:eastAsia="宋体" w:cs="宋体"/>
          <w:spacing w:val="8"/>
          <w:kern w:val="2"/>
          <w:sz w:val="24"/>
          <w:szCs w:val="24"/>
          <w:lang w:val="en-US" w:eastAsia="zh-CN" w:bidi="ar-SA"/>
        </w:rPr>
        <w:t xml:space="preserve"> 对学校不授予学士学位的决定不服的学位申请人，可于收到学校书面决定之日起7个工作日内，以书面形式向学校申请复核。教务处在收到复核申请之日起的7个工作日内，提请学校学位评定委员会做出复核决定，并以书面形式告知复核申请人。 </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第十七条</w:t>
      </w:r>
      <w:r>
        <w:rPr>
          <w:rFonts w:hint="eastAsia" w:ascii="宋体" w:hAnsi="宋体" w:eastAsia="宋体" w:cs="宋体"/>
          <w:spacing w:val="8"/>
          <w:kern w:val="2"/>
          <w:sz w:val="24"/>
          <w:szCs w:val="24"/>
          <w:lang w:val="en-US" w:eastAsia="zh-CN" w:bidi="ar-SA"/>
        </w:rPr>
        <w:t xml:space="preserve"> 学有余力的学生在校期间可辅修其他本科专业，辅修学士学位应与主修学士学位归属不同的本科专业大类，对没有取得主修学士学位的不授予辅修学士学位。</w:t>
      </w:r>
    </w:p>
    <w:p>
      <w:pPr>
        <w:keepNext w:val="0"/>
        <w:keepLines w:val="0"/>
        <w:pageBreakBefore w:val="0"/>
        <w:widowControl w:val="0"/>
        <w:kinsoku/>
        <w:wordWrap/>
        <w:overflowPunct/>
        <w:topLinePunct w:val="0"/>
        <w:autoSpaceDE/>
        <w:autoSpaceDN/>
        <w:bidi w:val="0"/>
        <w:adjustRightInd/>
        <w:snapToGrid/>
        <w:spacing w:before="312" w:beforeLines="100" w:line="360" w:lineRule="auto"/>
        <w:ind w:firstLine="0" w:firstLineChars="0"/>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第五章 附  则</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第十八条</w:t>
      </w:r>
      <w:r>
        <w:rPr>
          <w:rFonts w:hint="eastAsia" w:ascii="宋体" w:hAnsi="宋体" w:eastAsia="宋体" w:cs="宋体"/>
          <w:spacing w:val="8"/>
          <w:kern w:val="2"/>
          <w:sz w:val="24"/>
          <w:szCs w:val="24"/>
          <w:lang w:val="en-US" w:eastAsia="zh-CN" w:bidi="ar-SA"/>
        </w:rPr>
        <w:t xml:space="preserve"> 本细则中所称“以上”、“以前”、“以后”均包含本级别或本数在内；“省部级以上奖励”是指国家有关部委司局和厅级或省政府所属机关颁发的相关奖励或荣誉证书。</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第十九条</w:t>
      </w:r>
      <w:r>
        <w:rPr>
          <w:rFonts w:hint="eastAsia" w:ascii="宋体" w:hAnsi="宋体" w:eastAsia="宋体" w:cs="宋体"/>
          <w:spacing w:val="8"/>
          <w:kern w:val="2"/>
          <w:sz w:val="24"/>
          <w:szCs w:val="24"/>
          <w:lang w:val="en-US" w:eastAsia="zh-CN" w:bidi="ar-SA"/>
        </w:rPr>
        <w:t xml:space="preserve"> 在我校学习的外国留学生申请学士学位，以及高等学历继续教育本科毕业生申请学士学位，按照学校相关规定执行。</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第二十条</w:t>
      </w:r>
      <w:r>
        <w:rPr>
          <w:rFonts w:hint="eastAsia" w:ascii="宋体" w:hAnsi="宋体" w:eastAsia="宋体" w:cs="宋体"/>
          <w:spacing w:val="8"/>
          <w:kern w:val="2"/>
          <w:sz w:val="24"/>
          <w:szCs w:val="24"/>
          <w:lang w:val="en-US" w:eastAsia="zh-CN" w:bidi="ar-SA"/>
        </w:rPr>
        <w:t xml:space="preserve"> 本细则自2025年3月1日起生效执行。此前与本细则不一致的学校相关条文，自动失效。</w:t>
      </w:r>
    </w:p>
    <w:p>
      <w:pPr>
        <w:keepNext w:val="0"/>
        <w:keepLines w:val="0"/>
        <w:pageBreakBefore w:val="0"/>
        <w:widowControl w:val="0"/>
        <w:kinsoku/>
        <w:wordWrap/>
        <w:overflowPunct/>
        <w:topLinePunct w:val="0"/>
        <w:autoSpaceDN/>
        <w:bidi w:val="0"/>
        <w:adjustRightInd/>
        <w:snapToGrid/>
        <w:spacing w:line="360" w:lineRule="auto"/>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第二十一条</w:t>
      </w:r>
      <w:r>
        <w:rPr>
          <w:rFonts w:hint="eastAsia" w:ascii="宋体" w:hAnsi="宋体" w:eastAsia="宋体" w:cs="宋体"/>
          <w:spacing w:val="8"/>
          <w:kern w:val="2"/>
          <w:sz w:val="24"/>
          <w:szCs w:val="24"/>
          <w:lang w:val="en-US" w:eastAsia="zh-CN" w:bidi="ar-SA"/>
        </w:rPr>
        <w:t xml:space="preserve"> 本细则由三亚学院学位评定委员会授权教务处负责解释。</w:t>
      </w:r>
    </w:p>
    <w:p>
      <w:pPr>
        <w:keepNext w:val="0"/>
        <w:keepLines w:val="0"/>
        <w:pageBreakBefore w:val="0"/>
        <w:kinsoku/>
        <w:wordWrap/>
        <w:topLinePunct w:val="0"/>
        <w:autoSpaceDN/>
        <w:bidi w:val="0"/>
        <w:adjustRightInd/>
        <w:snapToGrid/>
        <w:spacing w:line="560" w:lineRule="exact"/>
        <w:ind w:firstLine="0" w:firstLineChars="0"/>
        <w:textAlignment w:val="auto"/>
        <w:rPr>
          <w:rFonts w:hint="eastAsia" w:ascii="宋体" w:hAnsi="宋体" w:eastAsia="宋体" w:cs="宋体"/>
          <w:b/>
          <w:bCs/>
          <w:spacing w:val="8"/>
          <w:kern w:val="2"/>
          <w:sz w:val="24"/>
          <w:szCs w:val="24"/>
          <w:lang w:val="en-US" w:eastAsia="zh-CN" w:bidi="ar-SA"/>
        </w:rPr>
      </w:pPr>
      <w:r>
        <w:rPr>
          <w:rFonts w:hint="eastAsia" w:ascii="宋体" w:hAnsi="宋体" w:eastAsia="宋体" w:cs="宋体"/>
          <w:spacing w:val="8"/>
          <w:kern w:val="2"/>
          <w:sz w:val="24"/>
          <w:szCs w:val="24"/>
          <w:lang w:val="en-US" w:eastAsia="zh-CN" w:bidi="ar-SA"/>
        </w:rPr>
        <w:br w:type="page"/>
      </w:r>
      <w:r>
        <w:rPr>
          <w:rFonts w:hint="eastAsia" w:ascii="宋体" w:hAnsi="宋体" w:eastAsia="宋体" w:cs="宋体"/>
          <w:b/>
          <w:bCs/>
          <w:spacing w:val="8"/>
          <w:kern w:val="2"/>
          <w:sz w:val="24"/>
          <w:szCs w:val="24"/>
          <w:lang w:val="en-US" w:eastAsia="zh-CN" w:bidi="ar-SA"/>
        </w:rPr>
        <w:t xml:space="preserve">附件: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三亚学院学业突出表现认定要求</w:t>
      </w:r>
    </w:p>
    <w:p>
      <w:pPr>
        <w:keepNext w:val="0"/>
        <w:keepLines w:val="0"/>
        <w:pageBreakBefore w:val="0"/>
        <w:widowControl w:val="0"/>
        <w:kinsoku/>
        <w:wordWrap/>
        <w:overflowPunct/>
        <w:topLinePunct w:val="0"/>
        <w:autoSpaceDE/>
        <w:autoSpaceDN/>
        <w:bidi w:val="0"/>
        <w:adjustRightInd/>
        <w:snapToGrid/>
        <w:spacing w:line="360" w:lineRule="auto"/>
        <w:ind w:firstLine="645" w:firstLineChars="0"/>
        <w:textAlignment w:val="auto"/>
        <w:outlineLvl w:val="0"/>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1.学业突出成绩规定</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1）获得省部级以上各类奖项或发明创造。个人或以排名前三名的身份参加本学科专业领域全国性具有较大影响力的竞赛并获得三等奖以上奖励；个人或以排名前三名的身份取得发明创造、获得专利或省部级以上成果奖励；个人参加省部级以上体育竞赛（主要指全国运动会、全国学生（青年）运动会、全国少数民族传统体育运动会等）获得前8名成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2）发表专业学术论文和学术专著。以第一作者身份在中文核心期刊（北京大学图书馆中文核心期刊目录&lt;最新版本&gt;，即学校学术期刊规定的A、B、C级）发表论文、作品，或以第一、第二作者署名论文被SSCI、SCI、EI等检索收录，或独立出版专著。发表见刊时间必须是学生毕业当年的6月1日之前。</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（3）毕业当年6月1日之前考取国内硕士研究生或取得国外知名高校无限制条件录取资格，以及毕业当年6月1日之前考取国家政府机关公务员或以前三名的身份考取地方政府机关公务员。</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2.申请及认定程序</w:t>
      </w:r>
    </w:p>
    <w:p>
      <w:r>
        <w:rPr>
          <w:rFonts w:hint="eastAsia" w:ascii="宋体" w:hAnsi="宋体" w:eastAsia="宋体" w:cs="宋体"/>
          <w:spacing w:val="8"/>
          <w:kern w:val="2"/>
          <w:sz w:val="24"/>
          <w:szCs w:val="24"/>
          <w:lang w:val="en-US" w:eastAsia="zh-CN" w:bidi="ar-SA"/>
        </w:rPr>
        <w:t>学生因学业突出表现申请学位，须填写《毕业生学士学位特殊申请情况认定表》，同时提供学业突出表现的认定材料，奖励证书原件及相关文件或论文所刊载的期刊原件或提供录取通知书。申请学生所在学院核实材料的真实性，确认真实无误后报送教务处，由教务处汇总后提交学校学位评定委员会审定。</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MGE2MmM3ZDhhMWRlZmNmOWQ2NjUwMzRmYzcwNGIifQ=="/>
  </w:docVars>
  <w:rsids>
    <w:rsidRoot w:val="68F92ED1"/>
    <w:rsid w:val="68F9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next w:val="1"/>
    <w:qFormat/>
    <w:uiPriority w:val="0"/>
    <w:pPr>
      <w:widowControl w:val="0"/>
      <w:overflowPunct w:val="0"/>
      <w:spacing w:line="360" w:lineRule="auto"/>
      <w:ind w:firstLine="0" w:firstLineChars="0"/>
      <w:jc w:val="center"/>
      <w:outlineLvl w:val="1"/>
    </w:pPr>
    <w:rPr>
      <w:rFonts w:ascii="方正小标宋简体" w:hAnsi="方正小标宋简体" w:eastAsia="方正小标宋简体" w:cs="方正小标宋简体"/>
      <w:kern w:val="2"/>
      <w:sz w:val="36"/>
      <w:szCs w:val="36"/>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2025-11-03T07:05:00Z</dcterms:created>
  <dc:creator>臧公胜</dc:creator>
  <cp:lastModifiedBy>臧公胜</cp:lastModifiedBy>
  <dcterms:modified xsi:type="dcterms:W3CDTF">2025-11-03T07:05:37Z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E47D2A10FE9A481BBBCE46D37F1CBBFE_11</vt:lpwstr>
  </property>
</Properties>
</file>